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185573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3C5159">
      <w:pPr>
        <w:jc w:val="center"/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>KARTA INTERWENCJI</w:t>
      </w:r>
      <w:r w:rsidR="00AC45B6">
        <w:rPr>
          <w:rFonts w:ascii="Times New Roman" w:hAnsi="Times New Roman" w:cs="Times New Roman"/>
        </w:rPr>
        <w:br/>
      </w:r>
      <w:r w:rsidR="00AC45B6">
        <w:rPr>
          <w:rFonts w:ascii="Times New Roman" w:hAnsi="Times New Roman" w:cs="Times New Roman"/>
          <w:sz w:val="24"/>
          <w:szCs w:val="24"/>
        </w:rPr>
        <w:t>Placówka Wsparcia Dziennego "Planeta Marzeń"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640919" w:rsidRPr="00A04E8A">
              <w:rPr>
                <w:rFonts w:ascii="Times New Roman" w:hAnsi="Times New Roman" w:cs="Times New Roman"/>
              </w:rPr>
              <w:t>d</w:t>
            </w:r>
            <w:r w:rsidRPr="00A04E8A">
              <w:rPr>
                <w:rFonts w:ascii="Times New Roman" w:hAnsi="Times New Roman" w:cs="Times New Roman"/>
              </w:rPr>
              <w:t>yrektora</w:t>
            </w:r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3C5159">
        <w:trPr>
          <w:trHeight w:val="5372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W_ZWIĄZKU_Z_POWZIĘCIEM_UZASADNIONEGO_POD"/>
      <w:bookmarkEnd w:id="0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MONITORING STANDARDÓW</w:t>
      </w:r>
      <w:r w:rsidR="00460B53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ANKIETA DLA PRACOWNIKÓW</w:t>
      </w:r>
      <w:r w:rsidR="00AC45B6">
        <w:rPr>
          <w:rFonts w:ascii="Times New Roman" w:hAnsi="Times New Roman" w:cs="Times New Roman"/>
        </w:rPr>
        <w:br/>
      </w:r>
      <w:r w:rsidR="00AC45B6">
        <w:rPr>
          <w:rFonts w:ascii="Times New Roman" w:hAnsi="Times New Roman" w:cs="Times New Roman"/>
          <w:sz w:val="24"/>
          <w:szCs w:val="24"/>
        </w:rPr>
        <w:t>Placówka Wsparcia Dziennego "Planeta Marzeń"</w:t>
      </w:r>
      <w:r w:rsidRPr="001744DF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Pr="00A04E8A" w:rsidRDefault="00A04E8A" w:rsidP="00A04E8A">
      <w:pPr>
        <w:rPr>
          <w:rFonts w:ascii="Times New Roman" w:hAnsi="Times New Roman" w:cs="Times New Roman"/>
        </w:rPr>
      </w:pPr>
    </w:p>
    <w:sectPr w:rsidR="00A04E8A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C6E2F"/>
    <w:rsid w:val="003C5159"/>
    <w:rsid w:val="00460B53"/>
    <w:rsid w:val="00640919"/>
    <w:rsid w:val="00671765"/>
    <w:rsid w:val="007C66E9"/>
    <w:rsid w:val="00A04E8A"/>
    <w:rsid w:val="00AC45B6"/>
    <w:rsid w:val="00E14BB0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0E59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1E5D-4632-4318-8DC9-09D27118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2024-02-10T11:25:00Z</dcterms:created>
  <dcterms:modified xsi:type="dcterms:W3CDTF">2024-02-14T13:12:00Z</dcterms:modified>
</cp:coreProperties>
</file>