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5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</w:p>
    <w:p w:rsidR="00052B60" w:rsidRPr="00F6498E" w:rsidRDefault="00F6498E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Placówc</w:t>
      </w:r>
      <w:r w:rsidR="00066038">
        <w:rPr>
          <w:rFonts w:ascii="Times New Roman" w:hAnsi="Times New Roman" w:cs="Times New Roman"/>
          <w:b/>
          <w:sz w:val="48"/>
          <w:szCs w:val="48"/>
        </w:rPr>
        <w:t>e</w:t>
      </w:r>
      <w:bookmarkStart w:id="0" w:name="_GoBack"/>
      <w:bookmarkEnd w:id="0"/>
      <w:r w:rsidRPr="00F6498E">
        <w:rPr>
          <w:rFonts w:ascii="Times New Roman" w:hAnsi="Times New Roman" w:cs="Times New Roman"/>
          <w:b/>
          <w:sz w:val="48"/>
          <w:szCs w:val="48"/>
        </w:rPr>
        <w:t xml:space="preserve"> Wsparcia Dziennego "Jaskółka"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lastRenderedPageBreak/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EF1917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Ilekroć </w:t>
      </w:r>
      <w:r w:rsidR="00126369" w:rsidRPr="00EF1917">
        <w:rPr>
          <w:rFonts w:ascii="Times New Roman" w:hAnsi="Times New Roman" w:cs="Times New Roman"/>
        </w:rPr>
        <w:t>w niniejszych standardach jest mowa bez bliższego określenia o:</w:t>
      </w:r>
    </w:p>
    <w:p w:rsidR="00126369" w:rsidRPr="00EF1917" w:rsidRDefault="00126369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</w:t>
      </w:r>
      <w:r w:rsidR="00DC230E" w:rsidRPr="00EF1917">
        <w:rPr>
          <w:rFonts w:ascii="Times New Roman" w:hAnsi="Times New Roman" w:cs="Times New Roman"/>
        </w:rPr>
        <w:t xml:space="preserve">) </w:t>
      </w:r>
      <w:r w:rsidR="00E74AB4">
        <w:rPr>
          <w:rFonts w:ascii="Times New Roman" w:hAnsi="Times New Roman" w:cs="Times New Roman"/>
          <w:b/>
        </w:rPr>
        <w:t>kierowniku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DC230E" w:rsidRPr="00EF1917">
        <w:rPr>
          <w:rFonts w:ascii="Times New Roman" w:hAnsi="Times New Roman" w:cs="Times New Roman"/>
        </w:rPr>
        <w:t xml:space="preserve"> </w:t>
      </w:r>
      <w:r w:rsidR="00E74AB4">
        <w:rPr>
          <w:rFonts w:ascii="Times New Roman" w:hAnsi="Times New Roman" w:cs="Times New Roman"/>
        </w:rPr>
        <w:t>kierownika</w:t>
      </w:r>
      <w:r w:rsidR="00F6498E">
        <w:rPr>
          <w:rFonts w:ascii="Times New Roman" w:hAnsi="Times New Roman" w:cs="Times New Roman"/>
        </w:rPr>
        <w:t xml:space="preserve"> Placówki</w:t>
      </w:r>
      <w:r w:rsidR="00F6498E" w:rsidRPr="00F6498E">
        <w:rPr>
          <w:rFonts w:ascii="Times New Roman" w:hAnsi="Times New Roman" w:cs="Times New Roman"/>
        </w:rPr>
        <w:t xml:space="preserve"> Wsparcia Dziennego "Jaskółka"</w:t>
      </w:r>
      <w:r w:rsidR="00A24247">
        <w:rPr>
          <w:rFonts w:ascii="Times New Roman" w:hAnsi="Times New Roman" w:cs="Times New Roman"/>
        </w:rPr>
        <w:t xml:space="preserve"> lub</w:t>
      </w:r>
      <w:r w:rsidR="00E74AB4">
        <w:rPr>
          <w:rFonts w:ascii="Times New Roman" w:hAnsi="Times New Roman" w:cs="Times New Roman"/>
        </w:rPr>
        <w:t xml:space="preserve"> pracownika wyznaczonego przez kierownika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Pr="00EF1917">
        <w:rPr>
          <w:rFonts w:ascii="Times New Roman" w:hAnsi="Times New Roman" w:cs="Times New Roman"/>
          <w:b/>
        </w:rPr>
        <w:t>placówce/jednostce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F6498E">
        <w:rPr>
          <w:rFonts w:ascii="Times New Roman" w:hAnsi="Times New Roman" w:cs="Times New Roman"/>
        </w:rPr>
        <w:t xml:space="preserve"> Placówkę</w:t>
      </w:r>
      <w:r w:rsidR="00F6498E" w:rsidRPr="00F6498E">
        <w:rPr>
          <w:rFonts w:ascii="Times New Roman" w:hAnsi="Times New Roman" w:cs="Times New Roman"/>
        </w:rPr>
        <w:t xml:space="preserve"> Wsparcia Dziennego "Jaskółka"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767F48" w:rsidRPr="00EF1917">
        <w:rPr>
          <w:rFonts w:ascii="Times New Roman" w:hAnsi="Times New Roman" w:cs="Times New Roman"/>
          <w:b/>
        </w:rPr>
        <w:t>personelu/</w:t>
      </w:r>
      <w:r w:rsidRPr="00EF1917">
        <w:rPr>
          <w:rFonts w:ascii="Times New Roman" w:hAnsi="Times New Roman" w:cs="Times New Roman"/>
          <w:b/>
        </w:rPr>
        <w:t>pracowniku</w:t>
      </w:r>
      <w:r w:rsidRPr="00EF1917">
        <w:rPr>
          <w:rFonts w:ascii="Times New Roman" w:hAnsi="Times New Roman" w:cs="Times New Roman"/>
        </w:rPr>
        <w:t xml:space="preserve"> – należy przez to rozumieć osobę zatrudni</w:t>
      </w:r>
      <w:r w:rsidR="00767F48" w:rsidRPr="00EF1917">
        <w:rPr>
          <w:rFonts w:ascii="Times New Roman" w:hAnsi="Times New Roman" w:cs="Times New Roman"/>
        </w:rPr>
        <w:t>oną na podstawie umowy o pracę</w:t>
      </w:r>
      <w:r w:rsidR="00F6498E">
        <w:rPr>
          <w:rFonts w:ascii="Times New Roman" w:hAnsi="Times New Roman" w:cs="Times New Roman"/>
        </w:rPr>
        <w:t xml:space="preserve"> w Placówce</w:t>
      </w:r>
      <w:r w:rsidR="00F6498E" w:rsidRPr="00F6498E">
        <w:rPr>
          <w:rFonts w:ascii="Times New Roman" w:hAnsi="Times New Roman" w:cs="Times New Roman"/>
        </w:rPr>
        <w:t xml:space="preserve"> Wsparcia Dziennego "Jaskółka"</w:t>
      </w:r>
      <w:r w:rsidR="00F6498E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 xml:space="preserve"> </w:t>
      </w:r>
      <w:r w:rsidR="001C49F7">
        <w:rPr>
          <w:rFonts w:ascii="Times New Roman" w:hAnsi="Times New Roman" w:cs="Times New Roman"/>
        </w:rPr>
        <w:t xml:space="preserve">oraz osoby </w:t>
      </w:r>
      <w:r w:rsidR="001C49F7" w:rsidRPr="00EF1917">
        <w:rPr>
          <w:rFonts w:ascii="Times New Roman" w:hAnsi="Times New Roman" w:cs="Times New Roman"/>
        </w:rPr>
        <w:t>wykonujące zadania zlecone na terenie jednostki na mocy odrębnych przepisów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  <w:b/>
        </w:rPr>
        <w:t>małoletnim</w:t>
      </w:r>
      <w:r w:rsidRPr="00EF1917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  <w:b/>
        </w:rPr>
        <w:t>rodzicu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–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E74AB4">
        <w:rPr>
          <w:rFonts w:ascii="Times New Roman" w:hAnsi="Times New Roman" w:cs="Times New Roman"/>
        </w:rPr>
        <w:t>kierownika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 podjęcia przez pracownika podejrzenia, że małoletni jest krzywdzony, ma on obowiązek przekazania informacji </w:t>
      </w:r>
      <w:r w:rsidR="00E74AB4">
        <w:rPr>
          <w:rFonts w:ascii="Times New Roman" w:hAnsi="Times New Roman" w:cs="Times New Roman"/>
        </w:rPr>
        <w:t>kierownikowi</w:t>
      </w:r>
      <w:r w:rsidRPr="00EF1917">
        <w:rPr>
          <w:rFonts w:ascii="Times New Roman" w:hAnsi="Times New Roman" w:cs="Times New Roman"/>
        </w:rPr>
        <w:t>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4 )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 xml:space="preserve">Po poinformowaniu rodziców przez </w:t>
      </w:r>
      <w:r w:rsidR="00E74AB4">
        <w:rPr>
          <w:rFonts w:ascii="Times New Roman" w:hAnsi="Times New Roman" w:cs="Times New Roman"/>
        </w:rPr>
        <w:t>Kierownik</w:t>
      </w:r>
      <w:r w:rsidR="002D2F93">
        <w:rPr>
          <w:rFonts w:ascii="Times New Roman" w:hAnsi="Times New Roman" w:cs="Times New Roman"/>
        </w:rPr>
        <w:t>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E74AB4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Kierownik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monitoruje realizację Standardów, reaguje na ich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 w:rsidR="00E74AB4">
        <w:rPr>
          <w:rFonts w:ascii="Times New Roman" w:hAnsi="Times New Roman" w:cs="Times New Roman"/>
        </w:rPr>
        <w:t>kierownik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E74AB4">
        <w:rPr>
          <w:rFonts w:ascii="Times New Roman" w:hAnsi="Times New Roman" w:cs="Times New Roman"/>
        </w:rPr>
        <w:t>kierownik</w:t>
      </w:r>
      <w:r w:rsidR="00165429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66038"/>
    <w:rsid w:val="000A4D74"/>
    <w:rsid w:val="00126369"/>
    <w:rsid w:val="00134760"/>
    <w:rsid w:val="001641AD"/>
    <w:rsid w:val="00165429"/>
    <w:rsid w:val="001C49F7"/>
    <w:rsid w:val="001F33C5"/>
    <w:rsid w:val="002259E3"/>
    <w:rsid w:val="00227856"/>
    <w:rsid w:val="002D2F93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7F48"/>
    <w:rsid w:val="007D7AF4"/>
    <w:rsid w:val="00843BB9"/>
    <w:rsid w:val="008B562D"/>
    <w:rsid w:val="008F7590"/>
    <w:rsid w:val="00990F30"/>
    <w:rsid w:val="00A24247"/>
    <w:rsid w:val="00B10D07"/>
    <w:rsid w:val="00B51EF4"/>
    <w:rsid w:val="00C17424"/>
    <w:rsid w:val="00C32684"/>
    <w:rsid w:val="00C454D0"/>
    <w:rsid w:val="00C81124"/>
    <w:rsid w:val="00D2093B"/>
    <w:rsid w:val="00D353F4"/>
    <w:rsid w:val="00DC230E"/>
    <w:rsid w:val="00E74AB4"/>
    <w:rsid w:val="00EC04E3"/>
    <w:rsid w:val="00EF1917"/>
    <w:rsid w:val="00F6498E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BF42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2024-02-10T07:17:00Z</dcterms:created>
  <dcterms:modified xsi:type="dcterms:W3CDTF">2024-02-14T13:10:00Z</dcterms:modified>
</cp:coreProperties>
</file>